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71" w:rsidRPr="009F4B67" w:rsidRDefault="0044156F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center"/>
        <w:rPr>
          <w:rStyle w:val="Ninguno"/>
          <w:rFonts w:ascii="Georgia" w:hAnsi="Georgia"/>
          <w:sz w:val="26"/>
          <w:szCs w:val="26"/>
        </w:rPr>
      </w:pPr>
      <w:bookmarkStart w:id="0" w:name="_GoBack"/>
      <w:bookmarkEnd w:id="0"/>
      <w:r w:rsidRPr="009F4B67">
        <w:rPr>
          <w:rStyle w:val="Ninguno"/>
          <w:rFonts w:ascii="Georgia" w:hAnsi="Georgia"/>
          <w:sz w:val="26"/>
          <w:szCs w:val="26"/>
        </w:rPr>
        <w:t>RELIGION AND TOTALITARIANISM</w:t>
      </w:r>
    </w:p>
    <w:p w:rsidR="005C3D33" w:rsidRPr="009F4B67" w:rsidRDefault="005C3D33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center"/>
        <w:rPr>
          <w:rStyle w:val="Ninguno"/>
          <w:rFonts w:ascii="Georgia" w:eastAsia="Palatino" w:hAnsi="Georgia" w:cs="Palatino"/>
          <w:sz w:val="26"/>
          <w:szCs w:val="26"/>
        </w:rPr>
      </w:pPr>
    </w:p>
    <w:p w:rsidR="005C3D33" w:rsidRPr="009F4B67" w:rsidRDefault="005C3D33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center"/>
        <w:rPr>
          <w:rStyle w:val="Ninguno"/>
          <w:rFonts w:ascii="Georgia" w:eastAsia="Palatino" w:hAnsi="Georgia" w:cs="Palatino"/>
          <w:sz w:val="26"/>
          <w:szCs w:val="26"/>
        </w:rPr>
      </w:pPr>
      <w:r w:rsidRPr="009F4B67">
        <w:rPr>
          <w:rStyle w:val="Ninguno"/>
          <w:rFonts w:ascii="Georgia" w:eastAsia="Palatino" w:hAnsi="Georgia" w:cs="Palatino"/>
          <w:sz w:val="26"/>
          <w:szCs w:val="26"/>
        </w:rPr>
        <w:t>CIHEC session in the CISH World Congress in Poznan, 23–29 August 2020</w:t>
      </w:r>
    </w:p>
    <w:p w:rsidR="00D52471" w:rsidRPr="009F4B67" w:rsidRDefault="00D52471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rPr>
          <w:rStyle w:val="Ninguno"/>
          <w:rFonts w:ascii="Georgia" w:eastAsia="Palatino" w:hAnsi="Georgia" w:cs="Palatino"/>
          <w:sz w:val="26"/>
          <w:szCs w:val="26"/>
        </w:rPr>
      </w:pPr>
    </w:p>
    <w:p w:rsidR="00D52471" w:rsidRPr="009F4B67" w:rsidRDefault="0044156F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both"/>
        <w:rPr>
          <w:rStyle w:val="Ninguno"/>
          <w:rFonts w:ascii="Georgia" w:eastAsia="Palatino" w:hAnsi="Georgia" w:cs="Palatino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 xml:space="preserve">The modern totalitarian State derives from the French </w:t>
      </w:r>
      <w:proofErr w:type="gramStart"/>
      <w:r w:rsidRPr="009F4B67">
        <w:rPr>
          <w:rStyle w:val="Ninguno"/>
          <w:rFonts w:ascii="Georgia" w:hAnsi="Georgia"/>
          <w:sz w:val="26"/>
          <w:szCs w:val="26"/>
        </w:rPr>
        <w:t>Revolution, that</w:t>
      </w:r>
      <w:proofErr w:type="gramEnd"/>
      <w:r w:rsidRPr="009F4B67">
        <w:rPr>
          <w:rStyle w:val="Ninguno"/>
          <w:rFonts w:ascii="Georgia" w:hAnsi="Georgia"/>
          <w:sz w:val="26"/>
          <w:szCs w:val="26"/>
        </w:rPr>
        <w:t xml:space="preserve"> took forms of “totalitarian democracy”. The conflict with religion arose immediately. Napoleon, heir of the revolutionary tradition, made a clear statement in the Concordat of 1801 of his contempt for the rights of the weakest, apparently the Church. In a way, that is the essence of the conflict between religion and totalitarianism: the political power </w:t>
      </w:r>
      <w:proofErr w:type="gramStart"/>
      <w:r w:rsidRPr="009F4B67">
        <w:rPr>
          <w:rStyle w:val="Ninguno"/>
          <w:rFonts w:ascii="Georgia" w:hAnsi="Georgia"/>
          <w:sz w:val="26"/>
          <w:szCs w:val="26"/>
        </w:rPr>
        <w:t>won’t</w:t>
      </w:r>
      <w:proofErr w:type="gramEnd"/>
      <w:r w:rsidRPr="009F4B67">
        <w:rPr>
          <w:rStyle w:val="Ninguno"/>
          <w:rFonts w:ascii="Georgia" w:hAnsi="Georgia"/>
          <w:sz w:val="26"/>
          <w:szCs w:val="26"/>
        </w:rPr>
        <w:t xml:space="preserve"> find any reason to stop itself before the arbitrary and incorporates the </w:t>
      </w:r>
      <w:proofErr w:type="spellStart"/>
      <w:r w:rsidRPr="009F4B67">
        <w:rPr>
          <w:rStyle w:val="Ninguno"/>
          <w:rFonts w:ascii="Georgia" w:hAnsi="Georgia"/>
          <w:sz w:val="26"/>
          <w:szCs w:val="26"/>
        </w:rPr>
        <w:t>transcendency</w:t>
      </w:r>
      <w:proofErr w:type="spellEnd"/>
      <w:r w:rsidRPr="009F4B67">
        <w:rPr>
          <w:rStyle w:val="Ninguno"/>
          <w:rFonts w:ascii="Georgia" w:hAnsi="Georgia"/>
          <w:sz w:val="26"/>
          <w:szCs w:val="26"/>
        </w:rPr>
        <w:t xml:space="preserve"> to the political representation.</w:t>
      </w:r>
    </w:p>
    <w:p w:rsidR="00D52471" w:rsidRPr="009F4B67" w:rsidRDefault="00D52471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both"/>
        <w:rPr>
          <w:rStyle w:val="Ninguno"/>
          <w:rFonts w:ascii="Georgia" w:eastAsia="Palatino" w:hAnsi="Georgia" w:cs="Palatino"/>
          <w:sz w:val="26"/>
          <w:szCs w:val="26"/>
        </w:rPr>
      </w:pPr>
    </w:p>
    <w:p w:rsidR="00D52471" w:rsidRPr="009F4B67" w:rsidRDefault="0044156F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both"/>
        <w:rPr>
          <w:rStyle w:val="Ninguno"/>
          <w:rFonts w:ascii="Georgia" w:eastAsia="Palatino" w:hAnsi="Georgia" w:cs="Palatino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 xml:space="preserve">The </w:t>
      </w:r>
      <w:proofErr w:type="spellStart"/>
      <w:r w:rsidRPr="009F4B67">
        <w:rPr>
          <w:rStyle w:val="Ninguno"/>
          <w:rFonts w:ascii="Georgia" w:hAnsi="Georgia"/>
          <w:sz w:val="26"/>
          <w:szCs w:val="26"/>
        </w:rPr>
        <w:t>institutionalisation</w:t>
      </w:r>
      <w:proofErr w:type="spellEnd"/>
      <w:r w:rsidRPr="009F4B67">
        <w:rPr>
          <w:rStyle w:val="Ninguno"/>
          <w:rFonts w:ascii="Georgia" w:hAnsi="Georgia"/>
          <w:sz w:val="26"/>
          <w:szCs w:val="26"/>
        </w:rPr>
        <w:t xml:space="preserve"> of this invasive attitude was radically established in the so called political religions, according to the definition </w:t>
      </w:r>
      <w:proofErr w:type="gramStart"/>
      <w:r w:rsidRPr="009F4B67">
        <w:rPr>
          <w:rStyle w:val="Ninguno"/>
          <w:rFonts w:ascii="Georgia" w:hAnsi="Georgia"/>
          <w:sz w:val="26"/>
          <w:szCs w:val="26"/>
        </w:rPr>
        <w:t>of  Eric</w:t>
      </w:r>
      <w:proofErr w:type="gramEnd"/>
      <w:r w:rsidRPr="009F4B67">
        <w:rPr>
          <w:rStyle w:val="Ninguno"/>
          <w:rFonts w:ascii="Georgia" w:hAnsi="Georgia"/>
          <w:sz w:val="26"/>
          <w:szCs w:val="26"/>
        </w:rPr>
        <w:t xml:space="preserve"> </w:t>
      </w:r>
      <w:proofErr w:type="spellStart"/>
      <w:r w:rsidRPr="009F4B67">
        <w:rPr>
          <w:rStyle w:val="Ninguno"/>
          <w:rFonts w:ascii="Georgia" w:hAnsi="Georgia"/>
          <w:sz w:val="26"/>
          <w:szCs w:val="26"/>
        </w:rPr>
        <w:t>Voegelin</w:t>
      </w:r>
      <w:proofErr w:type="spellEnd"/>
      <w:r w:rsidRPr="009F4B67">
        <w:rPr>
          <w:rStyle w:val="Ninguno"/>
          <w:rFonts w:ascii="Georgia" w:hAnsi="Georgia"/>
          <w:sz w:val="26"/>
          <w:szCs w:val="26"/>
        </w:rPr>
        <w:t xml:space="preserve"> in 1938, where politics does not only crash with religion, but substitutes it. Resistance to this substitution is of particular interest: motives, main actors, </w:t>
      </w:r>
      <w:proofErr w:type="spellStart"/>
      <w:r w:rsidRPr="009F4B67">
        <w:rPr>
          <w:rStyle w:val="Ninguno"/>
          <w:rFonts w:ascii="Georgia" w:hAnsi="Georgia"/>
          <w:sz w:val="26"/>
          <w:szCs w:val="26"/>
        </w:rPr>
        <w:t>organisations</w:t>
      </w:r>
      <w:proofErr w:type="spellEnd"/>
      <w:r w:rsidRPr="009F4B67">
        <w:rPr>
          <w:rStyle w:val="Ninguno"/>
          <w:rFonts w:ascii="Georgia" w:hAnsi="Georgia"/>
          <w:sz w:val="26"/>
          <w:szCs w:val="26"/>
        </w:rPr>
        <w:t>, results. In the Polish case, the division – and confrontation – between People, Church and State is especially interesting.</w:t>
      </w:r>
    </w:p>
    <w:p w:rsidR="00D52471" w:rsidRPr="009F4B67" w:rsidRDefault="00D52471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both"/>
        <w:rPr>
          <w:rStyle w:val="Ninguno"/>
          <w:rFonts w:ascii="Georgia" w:eastAsia="Palatino" w:hAnsi="Georgia" w:cs="Palatino"/>
          <w:sz w:val="26"/>
          <w:szCs w:val="26"/>
        </w:rPr>
      </w:pPr>
    </w:p>
    <w:p w:rsidR="00D52471" w:rsidRPr="009F4B67" w:rsidRDefault="0044156F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both"/>
        <w:rPr>
          <w:rStyle w:val="Ninguno"/>
          <w:rFonts w:ascii="Georgia" w:eastAsia="Palatino" w:hAnsi="Georgia" w:cs="Palatino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The inter-war period saw the development of political religions – under different representations – in their maximum extension and power. This period – that was crucial for the recent history o</w:t>
      </w:r>
      <w:r w:rsidR="009A5A3D" w:rsidRPr="009F4B67">
        <w:rPr>
          <w:rStyle w:val="Ninguno"/>
          <w:rFonts w:ascii="Georgia" w:hAnsi="Georgia"/>
          <w:sz w:val="26"/>
          <w:szCs w:val="26"/>
        </w:rPr>
        <w:t>f</w:t>
      </w:r>
      <w:r w:rsidRPr="009F4B67">
        <w:rPr>
          <w:rStyle w:val="Ninguno"/>
          <w:rFonts w:ascii="Georgia" w:hAnsi="Georgia"/>
          <w:sz w:val="26"/>
          <w:szCs w:val="26"/>
        </w:rPr>
        <w:t xml:space="preserve"> the World – constitutes also the center of this colloquium, although </w:t>
      </w:r>
      <w:r w:rsidR="009A5A3D" w:rsidRPr="009F4B67">
        <w:rPr>
          <w:rStyle w:val="Ninguno"/>
          <w:rFonts w:ascii="Georgia" w:hAnsi="Georgia"/>
          <w:sz w:val="26"/>
          <w:szCs w:val="26"/>
        </w:rPr>
        <w:t>contributions</w:t>
      </w:r>
      <w:r w:rsidRPr="009F4B67">
        <w:rPr>
          <w:rStyle w:val="Ninguno"/>
          <w:rFonts w:ascii="Georgia" w:hAnsi="Georgia"/>
          <w:sz w:val="26"/>
          <w:szCs w:val="26"/>
        </w:rPr>
        <w:t xml:space="preserve"> going back to the end of the 18th century </w:t>
      </w:r>
      <w:r w:rsidR="00640948" w:rsidRPr="009F4B67">
        <w:rPr>
          <w:rStyle w:val="Ninguno"/>
          <w:rFonts w:ascii="Georgia" w:hAnsi="Georgia"/>
          <w:sz w:val="26"/>
          <w:szCs w:val="26"/>
        </w:rPr>
        <w:t xml:space="preserve">or the contemporary soft-totalitarianisms </w:t>
      </w:r>
      <w:r w:rsidRPr="009F4B67">
        <w:rPr>
          <w:rStyle w:val="Ninguno"/>
          <w:rFonts w:ascii="Georgia" w:hAnsi="Georgia"/>
          <w:sz w:val="26"/>
          <w:szCs w:val="26"/>
        </w:rPr>
        <w:t>won’t be discarded, as much in theoretical analysis as in practical applications.</w:t>
      </w:r>
      <w:r w:rsidR="00A25922" w:rsidRPr="009F4B67">
        <w:rPr>
          <w:rStyle w:val="Ninguno"/>
          <w:rFonts w:ascii="Georgia" w:hAnsi="Georgia"/>
          <w:sz w:val="26"/>
          <w:szCs w:val="26"/>
        </w:rPr>
        <w:t xml:space="preserve"> Also are welcome </w:t>
      </w:r>
      <w:proofErr w:type="spellStart"/>
      <w:r w:rsidR="00A25922" w:rsidRPr="009F4B67">
        <w:rPr>
          <w:rStyle w:val="Ninguno"/>
          <w:rFonts w:ascii="Georgia" w:hAnsi="Georgia"/>
          <w:sz w:val="26"/>
          <w:szCs w:val="26"/>
        </w:rPr>
        <w:t>a</w:t>
      </w:r>
      <w:proofErr w:type="spellEnd"/>
      <w:r w:rsidR="00A25922" w:rsidRPr="009F4B67">
        <w:rPr>
          <w:rStyle w:val="Ninguno"/>
          <w:rFonts w:ascii="Georgia" w:hAnsi="Georgia"/>
          <w:sz w:val="26"/>
          <w:szCs w:val="26"/>
        </w:rPr>
        <w:t xml:space="preserve"> open discussion about countries under totalitarian influence during this period, as Spain, during the Civil War or Mexico during the </w:t>
      </w:r>
      <w:proofErr w:type="spellStart"/>
      <w:r w:rsidR="00A25922" w:rsidRPr="009F4B67">
        <w:rPr>
          <w:rStyle w:val="Ninguno"/>
          <w:rFonts w:ascii="Georgia" w:hAnsi="Georgia"/>
          <w:sz w:val="26"/>
          <w:szCs w:val="26"/>
        </w:rPr>
        <w:t>Cristero</w:t>
      </w:r>
      <w:proofErr w:type="spellEnd"/>
      <w:r w:rsidR="00A25922" w:rsidRPr="009F4B67">
        <w:rPr>
          <w:rStyle w:val="Ninguno"/>
          <w:rFonts w:ascii="Georgia" w:hAnsi="Georgia"/>
          <w:sz w:val="26"/>
          <w:szCs w:val="26"/>
        </w:rPr>
        <w:t xml:space="preserve"> War in order to clarify the relationship between violence against </w:t>
      </w:r>
      <w:r w:rsidR="00A25922" w:rsidRPr="009F4B67">
        <w:rPr>
          <w:rStyle w:val="Ninguno"/>
          <w:rFonts w:ascii="Georgia" w:hAnsi="Georgia"/>
          <w:sz w:val="26"/>
          <w:szCs w:val="26"/>
        </w:rPr>
        <w:lastRenderedPageBreak/>
        <w:t>the Church</w:t>
      </w:r>
      <w:r w:rsidR="009A5A3D" w:rsidRPr="009F4B67">
        <w:rPr>
          <w:rStyle w:val="Ninguno"/>
          <w:rFonts w:ascii="Georgia" w:hAnsi="Georgia"/>
          <w:sz w:val="26"/>
          <w:szCs w:val="26"/>
        </w:rPr>
        <w:t>, totalitarianism and democracy</w:t>
      </w:r>
      <w:r w:rsidR="00A25922" w:rsidRPr="009F4B67">
        <w:rPr>
          <w:rStyle w:val="Ninguno"/>
          <w:rFonts w:ascii="Georgia" w:hAnsi="Georgia"/>
          <w:sz w:val="26"/>
          <w:szCs w:val="26"/>
        </w:rPr>
        <w:t xml:space="preserve"> in those </w:t>
      </w:r>
      <w:r w:rsidR="009A5A3D" w:rsidRPr="009F4B67">
        <w:rPr>
          <w:rStyle w:val="Ninguno"/>
          <w:rFonts w:ascii="Georgia" w:hAnsi="Georgia"/>
          <w:sz w:val="26"/>
          <w:szCs w:val="26"/>
        </w:rPr>
        <w:t>countries</w:t>
      </w:r>
      <w:r w:rsidR="00A25922" w:rsidRPr="009F4B67">
        <w:rPr>
          <w:rStyle w:val="Ninguno"/>
          <w:rFonts w:ascii="Georgia" w:hAnsi="Georgia"/>
          <w:sz w:val="26"/>
          <w:szCs w:val="26"/>
        </w:rPr>
        <w:t>.</w:t>
      </w:r>
    </w:p>
    <w:p w:rsidR="00D52471" w:rsidRPr="009F4B67" w:rsidRDefault="00D52471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both"/>
        <w:rPr>
          <w:rStyle w:val="Ninguno"/>
          <w:rFonts w:ascii="Georgia" w:eastAsia="Palatino" w:hAnsi="Georgia" w:cs="Palatino"/>
          <w:sz w:val="26"/>
          <w:szCs w:val="26"/>
        </w:rPr>
      </w:pPr>
    </w:p>
    <w:p w:rsidR="00D52471" w:rsidRPr="009F4B67" w:rsidRDefault="0044156F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ind w:firstLine="284"/>
        <w:jc w:val="both"/>
        <w:rPr>
          <w:rStyle w:val="Ninguno"/>
          <w:rFonts w:ascii="Georgia" w:eastAsia="Palatino" w:hAnsi="Georgia" w:cs="Palatino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By way of example, without being exhaustive, we suggest some possible topics: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 xml:space="preserve">Transnational aspects of religious conflicts in totalitarian </w:t>
      </w:r>
      <w:r w:rsidR="00640948" w:rsidRPr="009F4B67">
        <w:rPr>
          <w:rStyle w:val="Ninguno"/>
          <w:rFonts w:ascii="Georgia" w:hAnsi="Georgia"/>
          <w:sz w:val="26"/>
          <w:szCs w:val="26"/>
        </w:rPr>
        <w:t>regimes</w:t>
      </w:r>
      <w:r w:rsidRPr="009F4B67">
        <w:rPr>
          <w:rStyle w:val="Ninguno"/>
          <w:rFonts w:ascii="Georgia" w:hAnsi="Georgia"/>
          <w:sz w:val="26"/>
          <w:szCs w:val="26"/>
        </w:rPr>
        <w:t xml:space="preserve">: </w:t>
      </w:r>
      <w:proofErr w:type="gramStart"/>
      <w:r w:rsidRPr="009F4B67">
        <w:rPr>
          <w:rStyle w:val="Ninguno"/>
          <w:rFonts w:ascii="Georgia" w:hAnsi="Georgia"/>
          <w:sz w:val="26"/>
          <w:szCs w:val="26"/>
        </w:rPr>
        <w:t>diasporas</w:t>
      </w:r>
      <w:proofErr w:type="gramEnd"/>
      <w:r w:rsidRPr="009F4B67">
        <w:rPr>
          <w:rStyle w:val="Ninguno"/>
          <w:rFonts w:ascii="Georgia" w:hAnsi="Georgia"/>
          <w:sz w:val="26"/>
          <w:szCs w:val="26"/>
        </w:rPr>
        <w:t xml:space="preserve"> and international solidarities.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Reality, interpretation</w:t>
      </w:r>
      <w:r w:rsidR="00640948" w:rsidRPr="009F4B67">
        <w:rPr>
          <w:rStyle w:val="Ninguno"/>
          <w:rFonts w:ascii="Georgia" w:hAnsi="Georgia"/>
          <w:sz w:val="26"/>
          <w:szCs w:val="26"/>
        </w:rPr>
        <w:t>s</w:t>
      </w:r>
      <w:r w:rsidRPr="009F4B67">
        <w:rPr>
          <w:rStyle w:val="Ninguno"/>
          <w:rFonts w:ascii="Georgia" w:hAnsi="Georgia"/>
          <w:sz w:val="26"/>
          <w:szCs w:val="26"/>
        </w:rPr>
        <w:t xml:space="preserve"> and representation</w:t>
      </w:r>
      <w:r w:rsidR="00640948" w:rsidRPr="009F4B67">
        <w:rPr>
          <w:rStyle w:val="Ninguno"/>
          <w:rFonts w:ascii="Georgia" w:hAnsi="Georgia"/>
          <w:sz w:val="26"/>
          <w:szCs w:val="26"/>
        </w:rPr>
        <w:t>s</w:t>
      </w:r>
      <w:r w:rsidRPr="009F4B67">
        <w:rPr>
          <w:rStyle w:val="Ninguno"/>
          <w:rFonts w:ascii="Georgia" w:hAnsi="Georgia"/>
          <w:sz w:val="26"/>
          <w:szCs w:val="26"/>
        </w:rPr>
        <w:t xml:space="preserve"> of religious persecution</w:t>
      </w:r>
      <w:r w:rsidR="00640948" w:rsidRPr="009F4B67">
        <w:rPr>
          <w:rStyle w:val="Ninguno"/>
          <w:rFonts w:ascii="Georgia" w:hAnsi="Georgia"/>
          <w:sz w:val="26"/>
          <w:szCs w:val="26"/>
        </w:rPr>
        <w:t xml:space="preserve"> in totalitarian or semi-totalitarian regimes or </w:t>
      </w:r>
      <w:r w:rsidR="00A25922" w:rsidRPr="009F4B67">
        <w:rPr>
          <w:rStyle w:val="Ninguno"/>
          <w:rFonts w:ascii="Georgia" w:hAnsi="Georgia"/>
          <w:sz w:val="26"/>
          <w:szCs w:val="26"/>
        </w:rPr>
        <w:t>states under totalitarian influence</w:t>
      </w:r>
      <w:r w:rsidR="00640948" w:rsidRPr="009F4B67">
        <w:rPr>
          <w:rStyle w:val="Ninguno"/>
          <w:rFonts w:ascii="Georgia" w:hAnsi="Georgia"/>
          <w:sz w:val="26"/>
          <w:szCs w:val="26"/>
        </w:rPr>
        <w:t>.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Holy See and totalitarian states: conventions, concordats and conflicts.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Connivances as clerical-fascism, totalitarian churches and pro-totalitarian confessional States in the Interwar years.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Social and political impact of religious resistance against totalitarianism.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Martyrs, victims and the memory of the resistance against totalitarianism</w:t>
      </w:r>
      <w:r w:rsidR="00A25922" w:rsidRPr="009F4B67">
        <w:rPr>
          <w:rStyle w:val="Ninguno"/>
          <w:rFonts w:ascii="Georgia" w:hAnsi="Georgia"/>
          <w:sz w:val="26"/>
          <w:szCs w:val="26"/>
        </w:rPr>
        <w:t>.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Relationship between anti-totalitarianism and ecumenism.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Race and gender in conflicts between religion and totalitarianism.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Religion as a unifying agent for social resistance against the totalitarian state.</w:t>
      </w:r>
    </w:p>
    <w:p w:rsidR="00D52471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>Contemporary forms of ne</w:t>
      </w:r>
      <w:r w:rsidR="00A25922" w:rsidRPr="009F4B67">
        <w:rPr>
          <w:rStyle w:val="Ninguno"/>
          <w:rFonts w:ascii="Georgia" w:hAnsi="Georgia"/>
          <w:sz w:val="26"/>
          <w:szCs w:val="26"/>
        </w:rPr>
        <w:t>o</w:t>
      </w:r>
      <w:r w:rsidRPr="009F4B67">
        <w:rPr>
          <w:rStyle w:val="Ninguno"/>
          <w:rFonts w:ascii="Georgia" w:hAnsi="Georgia"/>
          <w:sz w:val="26"/>
          <w:szCs w:val="26"/>
        </w:rPr>
        <w:t>-totalitarianism and religious conflict.</w:t>
      </w:r>
    </w:p>
    <w:p w:rsidR="005C3D33" w:rsidRPr="009F4B67" w:rsidRDefault="0044156F" w:rsidP="00BE121D">
      <w:pPr>
        <w:pStyle w:val="Cuerpo"/>
        <w:numPr>
          <w:ilvl w:val="0"/>
          <w:numId w:val="2"/>
        </w:numPr>
        <w:spacing w:line="360" w:lineRule="auto"/>
        <w:ind w:firstLine="284"/>
        <w:jc w:val="both"/>
        <w:rPr>
          <w:rStyle w:val="Ninguno"/>
          <w:rFonts w:ascii="Georgia" w:hAnsi="Georgia"/>
          <w:sz w:val="26"/>
          <w:szCs w:val="26"/>
        </w:rPr>
      </w:pPr>
      <w:r w:rsidRPr="009F4B67">
        <w:rPr>
          <w:rStyle w:val="Ninguno"/>
          <w:rFonts w:ascii="Georgia" w:hAnsi="Georgia"/>
          <w:sz w:val="26"/>
          <w:szCs w:val="26"/>
        </w:rPr>
        <w:t xml:space="preserve">The use – or deformation – of the religious history in the totalitarian propaganda, </w:t>
      </w:r>
      <w:proofErr w:type="gramStart"/>
      <w:r w:rsidRPr="009F4B67">
        <w:rPr>
          <w:rStyle w:val="Ninguno"/>
          <w:rFonts w:ascii="Georgia" w:hAnsi="Georgia"/>
          <w:sz w:val="26"/>
          <w:szCs w:val="26"/>
        </w:rPr>
        <w:t>and, also,</w:t>
      </w:r>
      <w:proofErr w:type="gramEnd"/>
      <w:r w:rsidRPr="009F4B67">
        <w:rPr>
          <w:rStyle w:val="Ninguno"/>
          <w:rFonts w:ascii="Georgia" w:hAnsi="Georgia"/>
          <w:sz w:val="26"/>
          <w:szCs w:val="26"/>
        </w:rPr>
        <w:t xml:space="preserve"> the recent approaches to the Church history in the age of totalitarianisms.</w:t>
      </w:r>
    </w:p>
    <w:p w:rsidR="009F4B67" w:rsidRPr="009F4B67" w:rsidRDefault="009F4B67" w:rsidP="00BE121D">
      <w:pPr>
        <w:pStyle w:val="Cuerpo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spacing w:line="360" w:lineRule="auto"/>
        <w:jc w:val="both"/>
        <w:rPr>
          <w:rFonts w:ascii="Georgia" w:hAnsi="Georgia"/>
          <w:sz w:val="26"/>
          <w:szCs w:val="26"/>
        </w:rPr>
      </w:pPr>
    </w:p>
    <w:p w:rsidR="009F4B67" w:rsidRPr="009F4B67" w:rsidRDefault="009F4B67" w:rsidP="00BE121D">
      <w:pPr>
        <w:spacing w:line="360" w:lineRule="auto"/>
        <w:ind w:firstLine="284"/>
        <w:rPr>
          <w:rFonts w:ascii="Georgia" w:hAnsi="Georgia"/>
          <w:sz w:val="26"/>
          <w:szCs w:val="26"/>
          <w:lang w:eastAsia="es-ES_tradnl"/>
        </w:rPr>
      </w:pPr>
      <w:r w:rsidRPr="009F4B67">
        <w:rPr>
          <w:rFonts w:ascii="Georgia" w:hAnsi="Georgia"/>
          <w:color w:val="000000"/>
          <w:sz w:val="26"/>
          <w:szCs w:val="26"/>
        </w:rPr>
        <w:t xml:space="preserve">The communication proposals of about ten </w:t>
      </w:r>
      <w:proofErr w:type="gramStart"/>
      <w:r w:rsidRPr="009F4B67">
        <w:rPr>
          <w:rFonts w:ascii="Georgia" w:hAnsi="Georgia"/>
          <w:color w:val="000000"/>
          <w:sz w:val="26"/>
          <w:szCs w:val="26"/>
        </w:rPr>
        <w:t>lines,</w:t>
      </w:r>
      <w:proofErr w:type="gramEnd"/>
      <w:r w:rsidRPr="009F4B67">
        <w:rPr>
          <w:rFonts w:ascii="Georgia" w:hAnsi="Georgia"/>
          <w:color w:val="000000"/>
          <w:sz w:val="26"/>
          <w:szCs w:val="26"/>
        </w:rPr>
        <w:t xml:space="preserve"> must be sent to </w:t>
      </w:r>
      <w:hyperlink r:id="rId7" w:history="1">
        <w:r w:rsidRPr="009F4B67">
          <w:rPr>
            <w:rStyle w:val="Hyperlink"/>
            <w:rFonts w:ascii="Georgia" w:hAnsi="Georgia"/>
            <w:sz w:val="26"/>
            <w:szCs w:val="26"/>
          </w:rPr>
          <w:t>a.pazos@csic.es</w:t>
        </w:r>
      </w:hyperlink>
      <w:r w:rsidRPr="009F4B67">
        <w:rPr>
          <w:rFonts w:ascii="Georgia" w:hAnsi="Georgia"/>
          <w:color w:val="000000"/>
          <w:sz w:val="26"/>
          <w:szCs w:val="26"/>
        </w:rPr>
        <w:t xml:space="preserve"> before </w:t>
      </w:r>
      <w:r w:rsidR="00665613">
        <w:rPr>
          <w:rFonts w:ascii="Georgia" w:hAnsi="Georgia"/>
          <w:b/>
          <w:color w:val="000000"/>
          <w:sz w:val="26"/>
          <w:szCs w:val="26"/>
        </w:rPr>
        <w:t>30 November</w:t>
      </w:r>
      <w:r w:rsidRPr="00BE121D">
        <w:rPr>
          <w:rFonts w:ascii="Georgia" w:hAnsi="Georgia"/>
          <w:b/>
          <w:color w:val="000000"/>
          <w:sz w:val="26"/>
          <w:szCs w:val="26"/>
        </w:rPr>
        <w:t xml:space="preserve"> 2019</w:t>
      </w:r>
      <w:r w:rsidRPr="009F4B67">
        <w:rPr>
          <w:rFonts w:ascii="Georgia" w:hAnsi="Georgia"/>
          <w:color w:val="000000"/>
          <w:sz w:val="26"/>
          <w:szCs w:val="26"/>
        </w:rPr>
        <w:t xml:space="preserve">, with a short CV. The selection of the </w:t>
      </w:r>
      <w:r>
        <w:rPr>
          <w:rFonts w:ascii="Georgia" w:hAnsi="Georgia"/>
          <w:color w:val="000000"/>
          <w:sz w:val="26"/>
          <w:szCs w:val="26"/>
        </w:rPr>
        <w:t>proposed</w:t>
      </w:r>
      <w:r w:rsidRPr="009F4B67">
        <w:rPr>
          <w:rFonts w:ascii="Georgia" w:hAnsi="Georgia"/>
          <w:color w:val="000000"/>
          <w:sz w:val="26"/>
          <w:szCs w:val="26"/>
        </w:rPr>
        <w:t xml:space="preserve"> papers </w:t>
      </w:r>
      <w:proofErr w:type="gramStart"/>
      <w:r w:rsidRPr="009F4B67">
        <w:rPr>
          <w:rFonts w:ascii="Georgia" w:hAnsi="Georgia"/>
          <w:color w:val="000000"/>
          <w:sz w:val="26"/>
          <w:szCs w:val="26"/>
        </w:rPr>
        <w:t>will be made</w:t>
      </w:r>
      <w:proofErr w:type="gramEnd"/>
      <w:r w:rsidRPr="009F4B67">
        <w:rPr>
          <w:rFonts w:ascii="Georgia" w:hAnsi="Georgia"/>
          <w:color w:val="000000"/>
          <w:sz w:val="26"/>
          <w:szCs w:val="26"/>
        </w:rPr>
        <w:t xml:space="preserve"> in December 2019.</w:t>
      </w:r>
    </w:p>
    <w:sectPr w:rsidR="009F4B67" w:rsidRPr="009F4B67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41" w:rsidRDefault="002C1241">
      <w:r>
        <w:separator/>
      </w:r>
    </w:p>
  </w:endnote>
  <w:endnote w:type="continuationSeparator" w:id="0">
    <w:p w:rsidR="002C1241" w:rsidRDefault="002C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Myriad Pro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71" w:rsidRDefault="00D52471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41" w:rsidRDefault="002C1241">
      <w:r>
        <w:separator/>
      </w:r>
    </w:p>
  </w:footnote>
  <w:footnote w:type="continuationSeparator" w:id="0">
    <w:p w:rsidR="002C1241" w:rsidRDefault="002C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71" w:rsidRDefault="00D52471">
    <w:pPr>
      <w:pStyle w:val="Cabecera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80B"/>
    <w:multiLevelType w:val="hybridMultilevel"/>
    <w:tmpl w:val="7B9A4704"/>
    <w:numStyleLink w:val="Vietas"/>
  </w:abstractNum>
  <w:abstractNum w:abstractNumId="1" w15:restartNumberingAfterBreak="0">
    <w:nsid w:val="30A01B7A"/>
    <w:multiLevelType w:val="hybridMultilevel"/>
    <w:tmpl w:val="7B9A4704"/>
    <w:styleLink w:val="Vietas"/>
    <w:lvl w:ilvl="0" w:tplc="B524A58E">
      <w:start w:val="1"/>
      <w:numFmt w:val="bullet"/>
      <w:lvlText w:val="•"/>
      <w:lvlJc w:val="left"/>
      <w:pPr>
        <w:tabs>
          <w:tab w:val="left" w:pos="360"/>
          <w:tab w:val="num" w:pos="518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ind w:left="158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BCE6F0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num" w:pos="1118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ind w:left="758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A6EA8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440"/>
          <w:tab w:val="num" w:pos="1718"/>
          <w:tab w:val="left" w:pos="1800"/>
          <w:tab w:val="left" w:pos="2160"/>
          <w:tab w:val="left" w:pos="2880"/>
          <w:tab w:val="left" w:pos="3600"/>
          <w:tab w:val="left" w:pos="4320"/>
        </w:tabs>
        <w:ind w:left="1358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CC732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num" w:pos="2318"/>
          <w:tab w:val="left" w:pos="2880"/>
          <w:tab w:val="left" w:pos="3600"/>
          <w:tab w:val="left" w:pos="4320"/>
        </w:tabs>
        <w:ind w:left="1958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24F66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num" w:pos="2918"/>
          <w:tab w:val="left" w:pos="3600"/>
          <w:tab w:val="left" w:pos="4320"/>
        </w:tabs>
        <w:ind w:left="2558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EEB96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num" w:pos="3518"/>
          <w:tab w:val="left" w:pos="3600"/>
          <w:tab w:val="left" w:pos="4320"/>
        </w:tabs>
        <w:ind w:left="3158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E43C6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num" w:pos="4118"/>
          <w:tab w:val="left" w:pos="4320"/>
        </w:tabs>
        <w:ind w:left="3758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FE1832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num" w:pos="4718"/>
        </w:tabs>
        <w:ind w:left="4358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441F26">
      <w:start w:val="1"/>
      <w:numFmt w:val="bullet"/>
      <w:lvlText w:val="•"/>
      <w:lvlJc w:val="left"/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num" w:pos="5318"/>
        </w:tabs>
        <w:ind w:left="4958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71"/>
    <w:rsid w:val="002C1241"/>
    <w:rsid w:val="0044156F"/>
    <w:rsid w:val="004C7559"/>
    <w:rsid w:val="005C3D33"/>
    <w:rsid w:val="00640948"/>
    <w:rsid w:val="00665613"/>
    <w:rsid w:val="007471EE"/>
    <w:rsid w:val="009A5A3D"/>
    <w:rsid w:val="009F4B67"/>
    <w:rsid w:val="00A25922"/>
    <w:rsid w:val="00BE121D"/>
    <w:rsid w:val="00D52471"/>
    <w:rsid w:val="00F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470F7-2A4C-DA4A-840B-0E38641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i-FI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widowControl w:val="0"/>
    </w:pPr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n-US"/>
    </w:rPr>
  </w:style>
  <w:style w:type="numbering" w:customStyle="1" w:styleId="Vietas">
    <w:name w:val="Viñetas"/>
    <w:pPr>
      <w:numPr>
        <w:numId w:val="1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3D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B6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pazos@csi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Mentzer, Raymond A</dc:creator>
  <cp:lastModifiedBy>Mentzer, Raymond A</cp:lastModifiedBy>
  <cp:revision>2</cp:revision>
  <dcterms:created xsi:type="dcterms:W3CDTF">2019-09-25T21:37:00Z</dcterms:created>
  <dcterms:modified xsi:type="dcterms:W3CDTF">2019-09-25T21:37:00Z</dcterms:modified>
</cp:coreProperties>
</file>